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FD" w:rsidRDefault="00AD7FFD" w:rsidP="00AD7FF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AD7FFD" w:rsidRPr="006065F1" w:rsidRDefault="00AD7FFD" w:rsidP="00AD7FF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AD7FFD" w:rsidRPr="00AD7FFD" w:rsidRDefault="00AD7FFD" w:rsidP="00AD7FFD">
      <w:pPr>
        <w:pStyle w:val="a3"/>
        <w:jc w:val="center"/>
        <w:rPr>
          <w:rFonts w:ascii="Sylfaen" w:hAnsi="Sylfaen"/>
          <w:i/>
          <w:lang w:val="ka-GE"/>
        </w:rPr>
      </w:pPr>
      <w:r w:rsidRPr="00AD7FFD">
        <w:rPr>
          <w:rFonts w:ascii="Sylfaen" w:hAnsi="Sylfaen"/>
          <w:i/>
          <w:lang w:val="ka-GE"/>
        </w:rPr>
        <w:t xml:space="preserve">სარეზერვო ძალოვანი ტრანსფორმატორი </w:t>
      </w:r>
      <w:r w:rsidRPr="00AD7FFD">
        <w:rPr>
          <w:rFonts w:ascii="Sylfaen" w:hAnsi="Sylfaen"/>
          <w:i/>
        </w:rPr>
        <w:t>ТДЦ</w:t>
      </w:r>
      <w:r w:rsidRPr="00AD7FFD">
        <w:rPr>
          <w:rFonts w:ascii="Sylfaen" w:hAnsi="Sylfaen"/>
          <w:i/>
          <w:lang w:val="en-US"/>
        </w:rPr>
        <w:t>-</w:t>
      </w:r>
      <w:r w:rsidRPr="00AD7FFD">
        <w:rPr>
          <w:rFonts w:ascii="Sylfaen" w:hAnsi="Sylfaen"/>
          <w:i/>
          <w:lang w:val="ka-GE"/>
        </w:rPr>
        <w:t xml:space="preserve">80 მვა-ს </w:t>
      </w:r>
      <w:r w:rsidR="00434DF2">
        <w:rPr>
          <w:rFonts w:ascii="Sylfaen" w:hAnsi="Sylfaen"/>
          <w:i/>
          <w:lang w:val="ka-GE"/>
        </w:rPr>
        <w:t xml:space="preserve">(საქ. #7704) </w:t>
      </w:r>
      <w:r w:rsidRPr="00AD7FFD">
        <w:rPr>
          <w:rFonts w:ascii="Sylfaen" w:hAnsi="Sylfaen"/>
          <w:i/>
          <w:lang w:val="ka-GE"/>
        </w:rPr>
        <w:t xml:space="preserve">გადაადგილება ჰეს </w:t>
      </w:r>
      <w:r w:rsidRPr="00AD7FFD">
        <w:rPr>
          <w:rFonts w:ascii="Sylfaen" w:hAnsi="Sylfaen"/>
          <w:i/>
          <w:lang w:val="en-US"/>
        </w:rPr>
        <w:t>I -</w:t>
      </w:r>
      <w:r w:rsidRPr="00AD7FFD">
        <w:rPr>
          <w:rFonts w:ascii="Sylfaen" w:hAnsi="Sylfaen"/>
          <w:i/>
          <w:lang w:val="ka-GE"/>
        </w:rPr>
        <w:t xml:space="preserve"> დან ჰეს </w:t>
      </w:r>
      <w:r w:rsidRPr="00AD7FFD">
        <w:rPr>
          <w:rFonts w:ascii="Sylfaen" w:hAnsi="Sylfaen"/>
          <w:i/>
          <w:lang w:val="en-US"/>
        </w:rPr>
        <w:t>III -</w:t>
      </w:r>
      <w:r w:rsidRPr="00AD7FFD">
        <w:rPr>
          <w:rFonts w:ascii="Sylfaen" w:hAnsi="Sylfaen"/>
          <w:i/>
          <w:lang w:val="ka-GE"/>
        </w:rPr>
        <w:t>ში და საექსპლუატაციო მდგომარეობაში მოყვანა</w:t>
      </w:r>
    </w:p>
    <w:p w:rsidR="00AD7FFD" w:rsidRDefault="00AD7FFD" w:rsidP="00AD7FFD">
      <w:pPr>
        <w:pStyle w:val="a3"/>
        <w:jc w:val="center"/>
        <w:rPr>
          <w:rFonts w:ascii="Sylfaen" w:hAnsi="Sylfaen"/>
          <w:lang w:val="ka-GE"/>
        </w:rPr>
      </w:pPr>
    </w:p>
    <w:p w:rsidR="00AD7FFD" w:rsidRDefault="00AD7FFD" w:rsidP="00AD7FF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AD7FFD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A53111" w:rsidRPr="00AD7FFD" w:rsidRDefault="00A53111" w:rsidP="00AD7FFD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bookmarkStart w:id="0" w:name="_GoBack"/>
      <w:bookmarkEnd w:id="0"/>
    </w:p>
    <w:p w:rsidR="009E2661" w:rsidRDefault="009E2661" w:rsidP="009E2661">
      <w:pPr>
        <w:pStyle w:val="a3"/>
        <w:jc w:val="center"/>
        <w:rPr>
          <w:rFonts w:ascii="Sylfaen" w:hAnsi="Sylfaen"/>
          <w:lang w:val="ka-GE"/>
        </w:rPr>
      </w:pPr>
    </w:p>
    <w:p w:rsidR="00AD7FFD" w:rsidRPr="00AA7094" w:rsidRDefault="00AD7FFD" w:rsidP="00B84C4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AD7FFD" w:rsidRDefault="00AD7FFD" w:rsidP="00A53111">
      <w:pPr>
        <w:pStyle w:val="Default"/>
        <w:spacing w:line="276" w:lineRule="auto"/>
        <w:ind w:firstLine="284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lang w:val="ka-GE"/>
        </w:rPr>
        <w:t xml:space="preserve">შპს „ვარციხე 2005“-ის ჰესებზე (ჰესი </w:t>
      </w:r>
      <w:r>
        <w:rPr>
          <w:rFonts w:ascii="Times New Roman" w:hAnsi="Times New Roman" w:cs="Times New Roman"/>
          <w:lang w:val="ka-GE"/>
        </w:rPr>
        <w:t>I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Times New Roman" w:hAnsi="Times New Roman" w:cs="Times New Roman"/>
          <w:lang w:val="ka-GE"/>
        </w:rPr>
        <w:t>II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Times New Roman" w:hAnsi="Times New Roman" w:cs="Times New Roman"/>
          <w:lang w:val="ka-GE"/>
        </w:rPr>
        <w:t>III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Times New Roman" w:hAnsi="Times New Roman" w:cs="Times New Roman"/>
          <w:lang w:val="ka-GE"/>
        </w:rPr>
        <w:t>IV</w:t>
      </w:r>
      <w:r>
        <w:rPr>
          <w:rFonts w:ascii="Sylfaen" w:hAnsi="Sylfaen" w:cs="Times New Roman"/>
          <w:lang w:val="ka-GE"/>
        </w:rPr>
        <w:t>) 110 კვ-ის ღია გამანაწილებელ მოწყობილობების ტერიტორიაზე დამონტაჟებული არის თითო ერთეული ძალოვანი ტრანსფორმატორი, სიმძლავრით 80 მვა (ტიპი</w:t>
      </w:r>
      <w:r w:rsidRPr="00B84C43">
        <w:rPr>
          <w:rFonts w:ascii="Sylfaen" w:hAnsi="Sylfaen" w:cs="Times New Roman"/>
          <w:lang w:val="ka-GE"/>
        </w:rPr>
        <w:t xml:space="preserve"> </w:t>
      </w:r>
      <w:r w:rsidRPr="00B84C43">
        <w:rPr>
          <w:lang w:val="ka-GE"/>
        </w:rPr>
        <w:t xml:space="preserve"> </w:t>
      </w:r>
      <w:r w:rsidRPr="00B84C43">
        <w:rPr>
          <w:sz w:val="23"/>
          <w:szCs w:val="23"/>
          <w:lang w:val="ka-GE"/>
        </w:rPr>
        <w:t>ТДЦ-80000/110-73У1</w:t>
      </w:r>
      <w:r w:rsidR="00B84C43" w:rsidRPr="00B84C43">
        <w:rPr>
          <w:sz w:val="23"/>
          <w:szCs w:val="23"/>
          <w:lang w:val="ka-GE"/>
        </w:rPr>
        <w:t>)</w:t>
      </w:r>
      <w:r w:rsidR="00B84C43">
        <w:rPr>
          <w:rFonts w:ascii="Sylfaen" w:hAnsi="Sylfaen"/>
          <w:sz w:val="23"/>
          <w:szCs w:val="23"/>
          <w:lang w:val="ka-GE"/>
        </w:rPr>
        <w:t xml:space="preserve">. </w:t>
      </w:r>
    </w:p>
    <w:p w:rsidR="00B84C43" w:rsidRDefault="00B84C43" w:rsidP="00A53111">
      <w:pPr>
        <w:pStyle w:val="Default"/>
        <w:spacing w:line="276" w:lineRule="auto"/>
        <w:ind w:firstLine="284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sz w:val="23"/>
          <w:szCs w:val="23"/>
          <w:lang w:val="ka-GE"/>
        </w:rPr>
        <w:t xml:space="preserve">გარდა ძირითადი ტრანსფორმატორისა, არის ერთი ერთეული სარეზერვო ძალოვანი ტრანსფორმატორი, რომელიც </w:t>
      </w:r>
      <w:r w:rsidR="00E93210">
        <w:rPr>
          <w:rFonts w:ascii="Sylfaen" w:hAnsi="Sylfaen"/>
          <w:sz w:val="23"/>
          <w:szCs w:val="23"/>
          <w:lang w:val="ka-GE"/>
        </w:rPr>
        <w:t>საჭ</w:t>
      </w:r>
      <w:r>
        <w:rPr>
          <w:rFonts w:ascii="Sylfaen" w:hAnsi="Sylfaen"/>
          <w:sz w:val="23"/>
          <w:szCs w:val="23"/>
          <w:lang w:val="ka-GE"/>
        </w:rPr>
        <w:t>იროების შემთხვევაში შედის ექსპლუატაციაში ძირითადი ტრანსფორმატორის სანაცვლოდ (შეკეთების</w:t>
      </w:r>
      <w:r w:rsidR="00E93210">
        <w:rPr>
          <w:rFonts w:ascii="Sylfaen" w:hAnsi="Sylfaen"/>
          <w:sz w:val="23"/>
          <w:szCs w:val="23"/>
          <w:lang w:val="ka-GE"/>
        </w:rPr>
        <w:t>/</w:t>
      </w:r>
      <w:r>
        <w:rPr>
          <w:rFonts w:ascii="Sylfaen" w:hAnsi="Sylfaen"/>
          <w:sz w:val="23"/>
          <w:szCs w:val="23"/>
          <w:lang w:val="ka-GE"/>
        </w:rPr>
        <w:t>დაზიანების შემთხვევაში).</w:t>
      </w:r>
    </w:p>
    <w:p w:rsidR="00B84C43" w:rsidRPr="00B84C43" w:rsidRDefault="00B84C43" w:rsidP="00A53111">
      <w:pPr>
        <w:pStyle w:val="Default"/>
        <w:spacing w:line="276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3"/>
          <w:szCs w:val="23"/>
          <w:lang w:val="ka-GE"/>
        </w:rPr>
        <w:t xml:space="preserve">ამჟამად სარეზერვო ძალოვანი ტრანსფორმატორი დგას ჰესი </w:t>
      </w:r>
      <w:r>
        <w:rPr>
          <w:rFonts w:ascii="Times New Roman" w:hAnsi="Times New Roman" w:cs="Times New Roman"/>
          <w:sz w:val="23"/>
          <w:szCs w:val="23"/>
          <w:lang w:val="ka-GE"/>
        </w:rPr>
        <w:t>I</w:t>
      </w:r>
      <w:r>
        <w:rPr>
          <w:rFonts w:ascii="Sylfaen" w:hAnsi="Sylfaen"/>
          <w:sz w:val="23"/>
          <w:szCs w:val="23"/>
          <w:lang w:val="ka-GE"/>
        </w:rPr>
        <w:t>-ის 110 კვ-ის ღია გამანაწილებელი მოწყობილობის სარემონტო მოედანზე.</w:t>
      </w:r>
    </w:p>
    <w:p w:rsidR="00AD7FFD" w:rsidRDefault="00AD7FFD" w:rsidP="00B84C4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AD7FFD" w:rsidRDefault="00AD7FFD" w:rsidP="00B84C4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B84C43" w:rsidRDefault="00AD7FFD" w:rsidP="00B84C43">
      <w:pPr>
        <w:shd w:val="clear" w:color="auto" w:fill="FFFFFF"/>
        <w:spacing w:after="0" w:line="240" w:lineRule="auto"/>
        <w:ind w:firstLine="284"/>
        <w:jc w:val="both"/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 xml:space="preserve">2. </w:t>
      </w:r>
      <w:r w:rsidR="00B84C43"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>სამუშაოს მოცულობა.</w:t>
      </w:r>
    </w:p>
    <w:p w:rsidR="00B84C43" w:rsidRDefault="00AD7FFD" w:rsidP="00B84C43">
      <w:pPr>
        <w:pStyle w:val="a3"/>
        <w:ind w:firstLine="284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Arial"/>
          <w:b/>
          <w:bCs/>
          <w:color w:val="141B3D"/>
          <w:sz w:val="24"/>
          <w:szCs w:val="20"/>
          <w:lang w:val="ka-GE"/>
        </w:rPr>
        <w:t xml:space="preserve"> </w:t>
      </w:r>
    </w:p>
    <w:p w:rsidR="00B84C43" w:rsidRDefault="00B84C43" w:rsidP="00A53111">
      <w:pPr>
        <w:pStyle w:val="a3"/>
        <w:spacing w:line="276" w:lineRule="auto"/>
        <w:ind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მოცულობაში შედის სარეზერვო ტრანსფორმატორი </w:t>
      </w:r>
      <w:r>
        <w:rPr>
          <w:rFonts w:ascii="Sylfaen" w:hAnsi="Sylfaen"/>
        </w:rPr>
        <w:t>ТДЦ</w:t>
      </w:r>
      <w:r>
        <w:rPr>
          <w:rFonts w:ascii="Sylfaen" w:hAnsi="Sylfaen"/>
          <w:lang w:val="ka-GE"/>
        </w:rPr>
        <w:t xml:space="preserve">-80 მვა-ს  (სრული მასა -  92 ტ.) გადატანა შ.პ.ს. „ვარციხე 2005“-ის ჰეს </w:t>
      </w:r>
      <w:r>
        <w:rPr>
          <w:rFonts w:ascii="Sylfaen" w:hAnsi="Sylfaen"/>
          <w:lang w:val="en-US"/>
        </w:rPr>
        <w:t>I-</w:t>
      </w:r>
      <w:r>
        <w:rPr>
          <w:rFonts w:ascii="Sylfaen" w:hAnsi="Sylfaen"/>
          <w:lang w:val="ka-GE"/>
        </w:rPr>
        <w:t xml:space="preserve">დან ჰეს </w:t>
      </w:r>
      <w:r>
        <w:rPr>
          <w:rFonts w:ascii="Sylfaen" w:hAnsi="Sylfaen"/>
          <w:lang w:val="en-US"/>
        </w:rPr>
        <w:t>III-</w:t>
      </w:r>
      <w:r>
        <w:rPr>
          <w:rFonts w:ascii="Sylfaen" w:hAnsi="Sylfaen"/>
          <w:lang w:val="ka-GE"/>
        </w:rPr>
        <w:t>ში, მათ შორის შემდეგი სამუშაოების შესრულება:</w:t>
      </w:r>
    </w:p>
    <w:p w:rsidR="00B84C43" w:rsidRDefault="00B84C43" w:rsidP="00A53111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ჰეს 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>-ის სარემონტო მოედანზე მდგომი სარეზერვო ტრანსფორმატორის სატრანსპორო მდგომარეობაში მოყვანა</w:t>
      </w:r>
      <w:r w:rsidR="005839F1">
        <w:rPr>
          <w:rFonts w:ascii="Sylfaen" w:hAnsi="Sylfaen"/>
          <w:lang w:val="ka-GE"/>
        </w:rPr>
        <w:t>;</w:t>
      </w:r>
    </w:p>
    <w:p w:rsidR="00B84C43" w:rsidRDefault="00B84C43" w:rsidP="00A53111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ტრანსფორმატორის და მისი დამხმარე მოწყობილობების გადატანა ჰეს </w:t>
      </w:r>
      <w:r w:rsidR="005839F1">
        <w:rPr>
          <w:rFonts w:ascii="Sylfaen" w:hAnsi="Sylfaen"/>
          <w:lang w:val="en-US"/>
        </w:rPr>
        <w:t>I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 xml:space="preserve">დან ჰეს </w:t>
      </w:r>
      <w:r w:rsidR="005839F1">
        <w:rPr>
          <w:rFonts w:ascii="Sylfaen" w:hAnsi="Sylfaen"/>
          <w:lang w:val="en-US"/>
        </w:rPr>
        <w:t>III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>ში</w:t>
      </w:r>
      <w:r w:rsidR="005839F1">
        <w:rPr>
          <w:rFonts w:ascii="Sylfaen" w:hAnsi="Sylfaen"/>
          <w:lang w:val="ka-GE"/>
        </w:rPr>
        <w:t>;</w:t>
      </w:r>
    </w:p>
    <w:p w:rsidR="00B84C43" w:rsidRDefault="00B84C43" w:rsidP="00A53111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ტრანსფორმატორის აწყობა</w:t>
      </w:r>
      <w:r w:rsidR="005839F1">
        <w:rPr>
          <w:rFonts w:ascii="Sylfaen" w:hAnsi="Sylfaen"/>
          <w:lang w:val="ka-GE"/>
        </w:rPr>
        <w:t>;</w:t>
      </w:r>
    </w:p>
    <w:p w:rsidR="00B84C43" w:rsidRDefault="00B84C43" w:rsidP="00A53111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ტრანსფორმატორის ელექტრული </w:t>
      </w:r>
      <w:r w:rsidR="005839F1">
        <w:rPr>
          <w:rFonts w:ascii="Sylfaen" w:hAnsi="Sylfaen"/>
          <w:lang w:val="ka-GE"/>
        </w:rPr>
        <w:t>გაზომვების ჩატარება</w:t>
      </w:r>
      <w:r>
        <w:rPr>
          <w:rFonts w:ascii="Sylfaen" w:hAnsi="Sylfaen"/>
          <w:lang w:val="ka-GE"/>
        </w:rPr>
        <w:t xml:space="preserve"> და გაზომვის შედეგების მიხედვით </w:t>
      </w:r>
      <w:r w:rsidR="005839F1">
        <w:rPr>
          <w:rFonts w:ascii="Sylfaen" w:hAnsi="Sylfaen"/>
          <w:lang w:val="ka-GE"/>
        </w:rPr>
        <w:t xml:space="preserve">ტრანსფორმატორის </w:t>
      </w:r>
      <w:r>
        <w:rPr>
          <w:rFonts w:ascii="Sylfaen" w:hAnsi="Sylfaen"/>
          <w:lang w:val="ka-GE"/>
        </w:rPr>
        <w:t>შრობაზე დაყენება (ზეთის რეგენერაციის გზით)</w:t>
      </w:r>
      <w:r w:rsidR="005839F1">
        <w:rPr>
          <w:rFonts w:ascii="Sylfaen" w:hAnsi="Sylfaen"/>
          <w:lang w:val="ka-GE"/>
        </w:rPr>
        <w:t>;</w:t>
      </w:r>
    </w:p>
    <w:p w:rsidR="00B84C43" w:rsidRDefault="00B84C43" w:rsidP="00A53111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ჰეს </w:t>
      </w:r>
      <w:r w:rsidR="005839F1">
        <w:rPr>
          <w:rFonts w:ascii="Sylfaen" w:hAnsi="Sylfaen"/>
          <w:lang w:val="en-US"/>
        </w:rPr>
        <w:t>III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 xml:space="preserve">ში მოქმედი ძალოვანი ტრანსფორმატორის განსალტვა და </w:t>
      </w:r>
      <w:r w:rsidR="005839F1">
        <w:rPr>
          <w:rFonts w:ascii="Sylfaen" w:hAnsi="Sylfaen"/>
          <w:lang w:val="ka-GE"/>
        </w:rPr>
        <w:t xml:space="preserve">სამონტაჟო მოეწდნიდან </w:t>
      </w:r>
      <w:r>
        <w:rPr>
          <w:rFonts w:ascii="Sylfaen" w:hAnsi="Sylfaen"/>
          <w:lang w:val="ka-GE"/>
        </w:rPr>
        <w:t>გამოგორება</w:t>
      </w:r>
      <w:r w:rsidR="005839F1">
        <w:rPr>
          <w:rFonts w:ascii="Sylfaen" w:hAnsi="Sylfaen"/>
          <w:lang w:val="ka-GE"/>
        </w:rPr>
        <w:t>;</w:t>
      </w:r>
    </w:p>
    <w:p w:rsidR="00AD7FFD" w:rsidRPr="005839F1" w:rsidRDefault="00B84C43" w:rsidP="005839F1">
      <w:pPr>
        <w:pStyle w:val="a3"/>
        <w:numPr>
          <w:ilvl w:val="0"/>
          <w:numId w:val="1"/>
        </w:numPr>
        <w:ind w:left="567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სარეზერვო ტრანსფორმატორის შეგორება </w:t>
      </w:r>
      <w:r w:rsidR="005839F1">
        <w:rPr>
          <w:rFonts w:ascii="Sylfaen" w:hAnsi="Sylfaen"/>
          <w:lang w:val="ka-GE"/>
        </w:rPr>
        <w:t xml:space="preserve">სამონტაჟო მოედანზე </w:t>
      </w:r>
      <w:r>
        <w:rPr>
          <w:rFonts w:ascii="Sylfaen" w:hAnsi="Sylfaen"/>
          <w:lang w:val="ka-GE"/>
        </w:rPr>
        <w:t>და მოსალტვა</w:t>
      </w:r>
      <w:r w:rsidR="005839F1">
        <w:rPr>
          <w:rFonts w:ascii="Sylfaen" w:hAnsi="Sylfaen"/>
          <w:lang w:val="ka-GE"/>
        </w:rPr>
        <w:t>.</w:t>
      </w:r>
    </w:p>
    <w:p w:rsidR="00AD7FFD" w:rsidRPr="00286201" w:rsidRDefault="00AD7FFD" w:rsidP="00B84C4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D7FFD" w:rsidRPr="00B11260" w:rsidRDefault="00AD7FFD" w:rsidP="00B84C4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AD7FFD" w:rsidRDefault="00AD7FFD" w:rsidP="00B84C43">
      <w:pPr>
        <w:shd w:val="clear" w:color="auto" w:fill="FFFFFF"/>
        <w:spacing w:after="0" w:line="240" w:lineRule="auto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AD7FFD" w:rsidRDefault="00AD7FFD" w:rsidP="00B84C43">
      <w:pPr>
        <w:shd w:val="clear" w:color="auto" w:fill="FFFFFF"/>
        <w:spacing w:after="0" w:line="240" w:lineRule="auto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AD7FFD" w:rsidRPr="00BD0C0B" w:rsidRDefault="005839F1" w:rsidP="005839F1">
      <w:pPr>
        <w:shd w:val="clear" w:color="auto" w:fill="FFFFFF"/>
        <w:spacing w:after="0" w:line="240" w:lineRule="auto"/>
        <w:ind w:firstLine="284"/>
        <w:jc w:val="both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      </w:t>
      </w:r>
      <w:r w:rsidR="00AD7FFD"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>შპს „ვარციხე 2005“-ის ადმინისტრაცია</w:t>
      </w:r>
    </w:p>
    <w:p w:rsidR="009E2661" w:rsidRDefault="009E2661" w:rsidP="00B84C43">
      <w:pPr>
        <w:pStyle w:val="a3"/>
        <w:ind w:firstLine="284"/>
        <w:jc w:val="both"/>
        <w:rPr>
          <w:rFonts w:ascii="Sylfaen" w:hAnsi="Sylfaen"/>
          <w:lang w:val="ka-GE"/>
        </w:rPr>
      </w:pPr>
    </w:p>
    <w:p w:rsidR="00AD7FFD" w:rsidRDefault="00AD7FFD" w:rsidP="009E2661">
      <w:pPr>
        <w:pStyle w:val="a3"/>
        <w:jc w:val="center"/>
        <w:rPr>
          <w:rFonts w:ascii="Sylfaen" w:hAnsi="Sylfaen"/>
          <w:lang w:val="ka-GE"/>
        </w:rPr>
      </w:pPr>
    </w:p>
    <w:sectPr w:rsidR="00AD7FFD" w:rsidSect="00B84C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003AC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upperRoman"/>
      <w:pStyle w:val="2"/>
      <w:lvlText w:val="%2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2">
      <w:start w:val="1"/>
      <w:numFmt w:val="upperLetter"/>
      <w:pStyle w:val="3"/>
      <w:lvlText w:val="%3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3">
      <w:start w:val="1"/>
      <w:numFmt w:val="decimal"/>
      <w:pStyle w:val="4"/>
      <w:lvlText w:val="%4)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4">
      <w:start w:val="1"/>
      <w:numFmt w:val="lowerLetter"/>
      <w:pStyle w:val="5"/>
      <w:lvlText w:val="(%5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448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168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3888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608" w:hanging="720"/>
      </w:pPr>
      <w:rPr>
        <w:rFonts w:cs="Times New Roman"/>
      </w:rPr>
    </w:lvl>
  </w:abstractNum>
  <w:abstractNum w:abstractNumId="1">
    <w:nsid w:val="389C0400"/>
    <w:multiLevelType w:val="hybridMultilevel"/>
    <w:tmpl w:val="7FF09ABA"/>
    <w:lvl w:ilvl="0" w:tplc="C3F8B1A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1A2A"/>
    <w:multiLevelType w:val="hybridMultilevel"/>
    <w:tmpl w:val="CE343DBA"/>
    <w:lvl w:ilvl="0" w:tplc="4E1E68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61"/>
    <w:rsid w:val="00434DF2"/>
    <w:rsid w:val="005839F1"/>
    <w:rsid w:val="00807418"/>
    <w:rsid w:val="009E2661"/>
    <w:rsid w:val="00A53111"/>
    <w:rsid w:val="00AD7FFD"/>
    <w:rsid w:val="00B84C43"/>
    <w:rsid w:val="00E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FD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D7FFD"/>
    <w:pPr>
      <w:numPr>
        <w:numId w:val="2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D7FFD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D7F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D7F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7FFD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7FFD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7F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D7F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F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D7FFD"/>
    <w:rPr>
      <w:rFonts w:ascii="Helv" w:eastAsia="Times New Roman" w:hAnsi="Helv" w:cs="Times New Roman"/>
      <w:b/>
      <w:sz w:val="24"/>
      <w:szCs w:val="20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D7FF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D7F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D7FF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D7FF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D7FFD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D7FFD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D7FFD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D7FFD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a4">
    <w:name w:val="List Paragraph"/>
    <w:basedOn w:val="a"/>
    <w:uiPriority w:val="34"/>
    <w:qFormat/>
    <w:rsid w:val="00AD7FFD"/>
    <w:pPr>
      <w:ind w:left="720"/>
      <w:contextualSpacing/>
    </w:pPr>
    <w:rPr>
      <w:lang w:val="ru-RU"/>
    </w:rPr>
  </w:style>
  <w:style w:type="paragraph" w:customStyle="1" w:styleId="Default">
    <w:name w:val="Default"/>
    <w:rsid w:val="00AD7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FD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D7FFD"/>
    <w:pPr>
      <w:numPr>
        <w:numId w:val="2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D7FFD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D7FF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D7FF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7FFD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7FFD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7FF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D7FF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FF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D7FFD"/>
    <w:rPr>
      <w:rFonts w:ascii="Helv" w:eastAsia="Times New Roman" w:hAnsi="Helv" w:cs="Times New Roman"/>
      <w:b/>
      <w:sz w:val="24"/>
      <w:szCs w:val="20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D7FF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D7F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D7FF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D7FF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D7FFD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D7FFD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D7FFD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D7FFD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a4">
    <w:name w:val="List Paragraph"/>
    <w:basedOn w:val="a"/>
    <w:uiPriority w:val="34"/>
    <w:qFormat/>
    <w:rsid w:val="00AD7FFD"/>
    <w:pPr>
      <w:ind w:left="720"/>
      <w:contextualSpacing/>
    </w:pPr>
    <w:rPr>
      <w:lang w:val="ru-RU"/>
    </w:rPr>
  </w:style>
  <w:style w:type="paragraph" w:customStyle="1" w:styleId="Default">
    <w:name w:val="Default"/>
    <w:rsid w:val="00AD7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5</cp:revision>
  <dcterms:created xsi:type="dcterms:W3CDTF">2022-01-11T07:51:00Z</dcterms:created>
  <dcterms:modified xsi:type="dcterms:W3CDTF">2022-01-11T18:32:00Z</dcterms:modified>
</cp:coreProperties>
</file>